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AE" w:rsidRDefault="00DE21AE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中共永城市委党校</w:t>
      </w:r>
      <w:r>
        <w:rPr>
          <w:rFonts w:ascii="方正小标宋简体" w:eastAsia="方正小标宋简体"/>
          <w:sz w:val="36"/>
          <w:szCs w:val="36"/>
        </w:rPr>
        <w:t>2016</w:t>
      </w:r>
      <w:r>
        <w:rPr>
          <w:rFonts w:ascii="方正小标宋简体" w:eastAsia="方正小标宋简体" w:hint="eastAsia"/>
          <w:sz w:val="36"/>
          <w:szCs w:val="36"/>
        </w:rPr>
        <w:t>年部门预算基本情况说明</w:t>
      </w:r>
    </w:p>
    <w:p w:rsidR="00DE21AE" w:rsidRDefault="00DE21AE" w:rsidP="00E51584">
      <w:pPr>
        <w:pStyle w:val="a5"/>
        <w:spacing w:before="0" w:beforeAutospacing="0" w:after="0" w:afterAutospacing="0" w:line="560" w:lineRule="exact"/>
        <w:ind w:firstLineChars="200" w:firstLine="640"/>
        <w:rPr>
          <w:rStyle w:val="a6"/>
          <w:rFonts w:ascii="仿宋_GB2312" w:eastAsia="仿宋_GB2312" w:hAnsi="??" w:cs="Arial"/>
          <w:color w:val="000000"/>
          <w:sz w:val="32"/>
          <w:szCs w:val="32"/>
        </w:rPr>
      </w:pPr>
    </w:p>
    <w:p w:rsidR="00DE21AE" w:rsidRDefault="00DE21AE" w:rsidP="00D70F9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t>一、部门基本情况</w:t>
      </w:r>
    </w:p>
    <w:p w:rsidR="00DE21AE" w:rsidRDefault="00DE21AE" w:rsidP="00D70F9E">
      <w:pPr>
        <w:pStyle w:val="a5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Arial"/>
          <w:b/>
          <w:color w:val="000000"/>
          <w:sz w:val="32"/>
          <w:szCs w:val="32"/>
        </w:rPr>
      </w:pPr>
      <w:r>
        <w:rPr>
          <w:rFonts w:ascii="仿宋" w:eastAsia="仿宋" w:hAnsi="仿宋" w:cs="Arial"/>
          <w:b/>
          <w:color w:val="000000"/>
          <w:sz w:val="32"/>
          <w:szCs w:val="32"/>
        </w:rPr>
        <w:t>(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一</w:t>
      </w:r>
      <w:r>
        <w:rPr>
          <w:rFonts w:ascii="仿宋" w:eastAsia="仿宋" w:hAnsi="仿宋" w:cs="Arial"/>
          <w:b/>
          <w:color w:val="000000"/>
          <w:sz w:val="32"/>
          <w:szCs w:val="32"/>
        </w:rPr>
        <w:t>)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永城市委党校内设机构、职能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中共永城市委党校是市委直属事业单位，与市行政学校实行统一领导、统一管理，属于一个机构两块牌子、两种职能并存的办学体制。内设有教研室、办公室、函授站、政策理论研究室、学员科、总务科等共</w:t>
      </w:r>
      <w:r>
        <w:rPr>
          <w:rFonts w:ascii="仿宋" w:eastAsia="仿宋" w:hAnsi="仿宋" w:cs="Arial"/>
          <w:color w:val="000000"/>
          <w:sz w:val="32"/>
          <w:szCs w:val="32"/>
        </w:rPr>
        <w:t>6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个科室。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b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Cs/>
          <w:color w:val="000000"/>
          <w:sz w:val="32"/>
          <w:szCs w:val="32"/>
        </w:rPr>
        <w:t>主要职责是：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、根据市委、市政府对干部队伍建设的要求，有计划地轮训和培训我市党员领导干部、国家公务员和意识形态部门的领导干部及理论骨干。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2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、协同组织人事部门对学员在校学习期间的表现进行考核、考察，提出使用建议。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3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、研究马列主义、毛泽东思想和邓小平建设有中国特色社会主义理论，围绕党的中心任务和市委、市政府的重要工作，对国内外和永城市的重大问题开展理论研究，为教学和社会实践服务。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4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、完成市委、市政府交办的其他任务。</w:t>
      </w:r>
    </w:p>
    <w:p w:rsidR="00DE21AE" w:rsidRDefault="00DE21AE" w:rsidP="00E51584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（二）人员构成情况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中共永城市委党校现有在职事业编制</w:t>
      </w:r>
      <w:r>
        <w:rPr>
          <w:rFonts w:ascii="仿宋" w:eastAsia="仿宋" w:hAnsi="仿宋" w:cs="Arial"/>
          <w:color w:val="000000"/>
          <w:sz w:val="32"/>
          <w:szCs w:val="32"/>
        </w:rPr>
        <w:t>35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人，其中工勤人员</w:t>
      </w:r>
      <w:r>
        <w:rPr>
          <w:rFonts w:ascii="仿宋" w:eastAsia="仿宋" w:hAnsi="仿宋" w:cs="Arial"/>
          <w:color w:val="00000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人；离退休人员</w:t>
      </w:r>
      <w:r>
        <w:rPr>
          <w:rFonts w:ascii="仿宋" w:eastAsia="仿宋" w:hAnsi="仿宋" w:cs="Arial"/>
          <w:color w:val="000000"/>
          <w:sz w:val="32"/>
          <w:szCs w:val="32"/>
        </w:rPr>
        <w:t>16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人。</w:t>
      </w:r>
    </w:p>
    <w:p w:rsidR="00DE21AE" w:rsidRDefault="00DE21AE" w:rsidP="00D70F9E">
      <w:pPr>
        <w:spacing w:line="560" w:lineRule="exact"/>
        <w:ind w:firstLineChars="200" w:firstLine="643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（三）预算年度主要工作任务</w:t>
      </w:r>
    </w:p>
    <w:p w:rsidR="00DE21AE" w:rsidRPr="00E51584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确保党校完成党员干部教育培训、基层理论宣讲、基层调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研、理论研究、师资队伍建设、信息化建设、后勤服务及市委市政府交办的其他各项工作任务。</w:t>
      </w:r>
    </w:p>
    <w:p w:rsidR="00DE21AE" w:rsidRDefault="00DE21AE" w:rsidP="00D70F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二、收入预算说明</w:t>
      </w:r>
    </w:p>
    <w:p w:rsidR="00DE21AE" w:rsidRPr="00E51584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E51584">
        <w:rPr>
          <w:rFonts w:ascii="仿宋" w:eastAsia="仿宋" w:hAnsi="仿宋" w:cs="Arial"/>
          <w:color w:val="000000"/>
          <w:sz w:val="32"/>
          <w:szCs w:val="32"/>
        </w:rPr>
        <w:t>2016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年收入预算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332.67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万元，比上年增加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8.53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万元，增长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3.23%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DE21AE" w:rsidRDefault="00DE21AE" w:rsidP="00D70F9E">
      <w:pPr>
        <w:spacing w:line="560" w:lineRule="exact"/>
        <w:ind w:firstLineChars="200" w:firstLine="640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三、支出预算说明</w:t>
      </w:r>
    </w:p>
    <w:p w:rsidR="00DE21AE" w:rsidRPr="00E51584" w:rsidRDefault="00DE21AE" w:rsidP="00D70F9E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2016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支出预算预算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332.67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万元，其中财政拨款支出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272.67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万元，必上年增加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8.53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万元，增长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3.23%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。支出预算按用途划分为：工资福利支出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155.3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万元，占总支出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46.68%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，比上年增加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14.57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万元，增长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10.35%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；对个人和家庭的补助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61.49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万元，占总支出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18.48%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，比上年增加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7.51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万元，增长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13.91%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；商品服务支出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25.88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万元，占总支出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7.78%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，比上年减少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43.55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万元，减少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62.73%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。项目支出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90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万元，占总支出的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27.05%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，比上年增加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45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万元，增长</w:t>
      </w:r>
      <w:r w:rsidRPr="00E51584">
        <w:rPr>
          <w:rFonts w:ascii="仿宋" w:eastAsia="仿宋" w:hAnsi="仿宋" w:cs="Arial"/>
          <w:color w:val="000000"/>
          <w:kern w:val="2"/>
          <w:sz w:val="32"/>
          <w:szCs w:val="32"/>
        </w:rPr>
        <w:t>50%</w:t>
      </w:r>
      <w:r w:rsidRPr="00E51584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。</w:t>
      </w:r>
    </w:p>
    <w:p w:rsidR="00DE21AE" w:rsidRDefault="00DE21AE" w:rsidP="00D70F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四、“三公”经费说明</w:t>
      </w:r>
    </w:p>
    <w:p w:rsidR="00DE21AE" w:rsidRPr="00E51584" w:rsidRDefault="00DE21AE" w:rsidP="008A6B98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E51584">
        <w:rPr>
          <w:rFonts w:ascii="仿宋" w:eastAsia="仿宋" w:hAnsi="仿宋" w:cs="Arial"/>
          <w:color w:val="000000"/>
          <w:sz w:val="32"/>
          <w:szCs w:val="32"/>
        </w:rPr>
        <w:t>2016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年“三公”经费支出预算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5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万元，其中：因公出国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(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境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)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费用零万元，公务接待费零万元，公务用车运行维护费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5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万元，较上年下降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28 %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，公务用车购置零万元</w:t>
      </w:r>
      <w:bookmarkStart w:id="0" w:name="_GoBack"/>
      <w:bookmarkEnd w:id="0"/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。“三公经费”预算下降的原因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>: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严格执行《党政机关国内公务接待管理规定》等办法，坚持厉行勤俭节约，不断压缩公务接待费支出</w:t>
      </w:r>
      <w:r w:rsidRPr="00E51584">
        <w:rPr>
          <w:rFonts w:ascii="仿宋" w:eastAsia="仿宋" w:hAnsi="仿宋" w:cs="Arial"/>
          <w:color w:val="000000"/>
          <w:sz w:val="32"/>
          <w:szCs w:val="32"/>
        </w:rPr>
        <w:t xml:space="preserve">; </w:t>
      </w:r>
      <w:r w:rsidRPr="00E51584">
        <w:rPr>
          <w:rFonts w:ascii="仿宋" w:eastAsia="仿宋" w:hAnsi="仿宋" w:cs="Arial" w:hint="eastAsia"/>
          <w:color w:val="000000"/>
          <w:sz w:val="32"/>
          <w:szCs w:val="32"/>
        </w:rPr>
        <w:t>公车改革实施后，公务用车保有量下降，严格公务车辆出行管理，公务用车运行维护费降低。</w:t>
      </w:r>
    </w:p>
    <w:p w:rsidR="00DE21AE" w:rsidRDefault="00DE21AE" w:rsidP="00D70F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E21AE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</w:p>
    <w:p w:rsidR="00DE21AE" w:rsidRPr="006A3039" w:rsidRDefault="00DE21AE" w:rsidP="00D70F9E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</w:p>
    <w:p w:rsidR="00DE21AE" w:rsidRDefault="00DE21AE">
      <w:pPr>
        <w:spacing w:line="560" w:lineRule="exact"/>
        <w:ind w:firstLineChars="1706" w:firstLine="5459"/>
        <w:jc w:val="center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中共永城市委党校</w:t>
      </w:r>
    </w:p>
    <w:p w:rsidR="00DE21AE" w:rsidRDefault="00DE21AE" w:rsidP="00E51584">
      <w:pPr>
        <w:spacing w:line="560" w:lineRule="exact"/>
        <w:ind w:firstLineChars="1706" w:firstLine="3583"/>
        <w:jc w:val="center"/>
      </w:pPr>
    </w:p>
    <w:sectPr w:rsidR="00DE21AE" w:rsidSect="00D70F9E">
      <w:headerReference w:type="default" r:id="rId6"/>
      <w:pgSz w:w="11906" w:h="16838"/>
      <w:pgMar w:top="1644" w:right="1644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EB" w:rsidRDefault="006800EB" w:rsidP="00D70F9E">
      <w:r>
        <w:separator/>
      </w:r>
    </w:p>
  </w:endnote>
  <w:endnote w:type="continuationSeparator" w:id="1">
    <w:p w:rsidR="006800EB" w:rsidRDefault="006800EB" w:rsidP="00D70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EB" w:rsidRDefault="006800EB" w:rsidP="00D70F9E">
      <w:r>
        <w:separator/>
      </w:r>
    </w:p>
  </w:footnote>
  <w:footnote w:type="continuationSeparator" w:id="1">
    <w:p w:rsidR="006800EB" w:rsidRDefault="006800EB" w:rsidP="00D70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AE" w:rsidRDefault="00DE21AE" w:rsidP="008A6B9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E63BE9"/>
    <w:rsid w:val="000013DA"/>
    <w:rsid w:val="00454DE3"/>
    <w:rsid w:val="006800EB"/>
    <w:rsid w:val="006A3039"/>
    <w:rsid w:val="00711D5D"/>
    <w:rsid w:val="007423A5"/>
    <w:rsid w:val="008A6B98"/>
    <w:rsid w:val="00D70F9E"/>
    <w:rsid w:val="00DE21AE"/>
    <w:rsid w:val="00E51584"/>
    <w:rsid w:val="188A0ED1"/>
    <w:rsid w:val="1D345FF7"/>
    <w:rsid w:val="1DC0145E"/>
    <w:rsid w:val="26E63BE9"/>
    <w:rsid w:val="37A80BE0"/>
    <w:rsid w:val="38E01351"/>
    <w:rsid w:val="567B29ED"/>
    <w:rsid w:val="66EF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7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145E6"/>
    <w:rPr>
      <w:sz w:val="18"/>
      <w:szCs w:val="18"/>
    </w:rPr>
  </w:style>
  <w:style w:type="paragraph" w:styleId="a4">
    <w:name w:val="header"/>
    <w:basedOn w:val="a"/>
    <w:link w:val="Char0"/>
    <w:uiPriority w:val="99"/>
    <w:rsid w:val="00D7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45E6"/>
    <w:rPr>
      <w:sz w:val="18"/>
      <w:szCs w:val="18"/>
    </w:rPr>
  </w:style>
  <w:style w:type="paragraph" w:styleId="a5">
    <w:name w:val="Normal (Web)"/>
    <w:basedOn w:val="a"/>
    <w:uiPriority w:val="99"/>
    <w:rsid w:val="00D70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D70F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</cp:lastModifiedBy>
  <cp:revision>2</cp:revision>
  <dcterms:created xsi:type="dcterms:W3CDTF">2016-10-11T07:53:00Z</dcterms:created>
  <dcterms:modified xsi:type="dcterms:W3CDTF">2016-10-11T07:53:00Z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