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zh-CN"/>
        </w:rPr>
        <w:t>永城市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2018年政府预算公开说明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CN"/>
        </w:rPr>
        <w:t>（一）一般公共预算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综合考虑经济社会发展和税费政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val="zh-CN"/>
        </w:rPr>
        <w:t>策变化，2018年全市一般公共预算收入预期增长目标为</w:t>
      </w:r>
      <w:r>
        <w:rPr>
          <w:rFonts w:hint="eastAsia" w:ascii="仿宋" w:hAnsi="仿宋" w:eastAsia="仿宋"/>
          <w:kern w:val="0"/>
          <w:sz w:val="32"/>
          <w:szCs w:val="32"/>
        </w:rPr>
        <w:t>9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%，全市一般公共预算收入安排</w:t>
      </w:r>
      <w:r>
        <w:rPr>
          <w:rFonts w:hint="eastAsia" w:ascii="仿宋" w:hAnsi="仿宋" w:eastAsia="仿宋"/>
          <w:kern w:val="0"/>
          <w:sz w:val="32"/>
          <w:szCs w:val="32"/>
        </w:rPr>
        <w:t>407950万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元，加上返还性收入</w:t>
      </w:r>
      <w:r>
        <w:rPr>
          <w:rFonts w:hint="eastAsia" w:ascii="仿宋" w:hAnsi="仿宋" w:eastAsia="仿宋"/>
          <w:kern w:val="0"/>
          <w:sz w:val="32"/>
          <w:szCs w:val="32"/>
        </w:rPr>
        <w:t>-2454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万元（省财政厅核定我市增值税“五五分享”税收返还基数为</w:t>
      </w:r>
      <w:r>
        <w:rPr>
          <w:rFonts w:hint="eastAsia" w:ascii="仿宋" w:hAnsi="仿宋" w:eastAsia="仿宋"/>
          <w:kern w:val="0"/>
          <w:sz w:val="32"/>
          <w:szCs w:val="32"/>
        </w:rPr>
        <w:t>-9558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万元），上级一般性转移支付收入</w:t>
      </w:r>
      <w:r>
        <w:rPr>
          <w:rFonts w:hint="eastAsia" w:ascii="仿宋" w:hAnsi="仿宋" w:eastAsia="仿宋"/>
          <w:kern w:val="0"/>
          <w:sz w:val="32"/>
          <w:szCs w:val="32"/>
        </w:rPr>
        <w:t>161799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万元，专项转移支付收入</w:t>
      </w:r>
      <w:r>
        <w:rPr>
          <w:rFonts w:hint="eastAsia" w:ascii="仿宋" w:hAnsi="仿宋" w:eastAsia="仿宋"/>
          <w:kern w:val="0"/>
          <w:sz w:val="32"/>
          <w:szCs w:val="32"/>
        </w:rPr>
        <w:t>39522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万元，减去上解上级支出</w:t>
      </w:r>
      <w:r>
        <w:rPr>
          <w:rFonts w:hint="eastAsia" w:ascii="仿宋" w:hAnsi="仿宋" w:eastAsia="仿宋"/>
          <w:kern w:val="0"/>
          <w:sz w:val="32"/>
          <w:szCs w:val="32"/>
        </w:rPr>
        <w:t>69000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万元，201</w:t>
      </w:r>
      <w:r>
        <w:rPr>
          <w:rFonts w:hint="eastAsia" w:ascii="仿宋" w:hAnsi="仿宋" w:eastAsia="仿宋"/>
          <w:kern w:val="0"/>
          <w:sz w:val="32"/>
          <w:szCs w:val="32"/>
        </w:rPr>
        <w:t>8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年我市财力收入为</w:t>
      </w:r>
      <w:r>
        <w:rPr>
          <w:rFonts w:hint="eastAsia" w:ascii="仿宋" w:hAnsi="仿宋" w:eastAsia="仿宋"/>
          <w:kern w:val="0"/>
          <w:sz w:val="32"/>
          <w:szCs w:val="32"/>
        </w:rPr>
        <w:t>537817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万元，较上年预算</w:t>
      </w:r>
      <w:r>
        <w:rPr>
          <w:rFonts w:hint="eastAsia" w:ascii="仿宋" w:hAnsi="仿宋" w:eastAsia="仿宋"/>
          <w:kern w:val="0"/>
          <w:sz w:val="32"/>
          <w:szCs w:val="32"/>
        </w:rPr>
        <w:t>511805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万元增收26012万元，增长</w:t>
      </w:r>
      <w:r>
        <w:rPr>
          <w:rFonts w:hint="eastAsia" w:ascii="仿宋" w:hAnsi="仿宋" w:eastAsia="仿宋"/>
          <w:kern w:val="0"/>
          <w:sz w:val="32"/>
          <w:szCs w:val="32"/>
        </w:rPr>
        <w:t>5.08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%，其中市本级财力预计为</w:t>
      </w:r>
      <w:r>
        <w:rPr>
          <w:rFonts w:hint="eastAsia" w:ascii="仿宋" w:hAnsi="仿宋" w:eastAsia="仿宋"/>
          <w:kern w:val="0"/>
          <w:sz w:val="32"/>
          <w:szCs w:val="32"/>
        </w:rPr>
        <w:t>461817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万元，乡镇财力预计为</w:t>
      </w:r>
      <w:r>
        <w:rPr>
          <w:rFonts w:hint="eastAsia" w:ascii="仿宋" w:hAnsi="仿宋" w:eastAsia="仿宋"/>
          <w:kern w:val="0"/>
          <w:sz w:val="32"/>
          <w:szCs w:val="32"/>
        </w:rPr>
        <w:t>76000万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元。各乡镇应根据当地实际，妥善安排本级收入预算。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val="zh-CN"/>
        </w:rPr>
        <w:t>1、收入安排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2018年市本级一般公共财政预算收入安排</w:t>
      </w:r>
      <w:r>
        <w:rPr>
          <w:rFonts w:hint="eastAsia" w:ascii="仿宋" w:hAnsi="仿宋" w:eastAsia="仿宋"/>
          <w:kern w:val="0"/>
          <w:sz w:val="32"/>
          <w:szCs w:val="32"/>
        </w:rPr>
        <w:t>331950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万元，比去年完成数292677万元增长</w:t>
      </w:r>
      <w:r>
        <w:rPr>
          <w:rFonts w:hint="eastAsia" w:ascii="仿宋" w:hAnsi="仿宋" w:eastAsia="仿宋"/>
          <w:kern w:val="0"/>
          <w:sz w:val="32"/>
          <w:szCs w:val="32"/>
        </w:rPr>
        <w:t>13.4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%。其中税收收入安排</w:t>
      </w:r>
      <w:r>
        <w:rPr>
          <w:rFonts w:hint="eastAsia" w:ascii="仿宋" w:hAnsi="仿宋" w:eastAsia="仿宋"/>
          <w:kern w:val="0"/>
          <w:sz w:val="32"/>
          <w:szCs w:val="32"/>
        </w:rPr>
        <w:t>209150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万元，增收</w:t>
      </w:r>
      <w:r>
        <w:rPr>
          <w:rFonts w:hint="eastAsia" w:ascii="仿宋" w:hAnsi="仿宋" w:eastAsia="仿宋"/>
          <w:kern w:val="0"/>
          <w:sz w:val="32"/>
          <w:szCs w:val="32"/>
        </w:rPr>
        <w:t>24236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</w:rPr>
        <w:t>13.1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%；非税收入安排</w:t>
      </w:r>
      <w:r>
        <w:rPr>
          <w:rFonts w:hint="eastAsia" w:ascii="仿宋" w:hAnsi="仿宋" w:eastAsia="仿宋"/>
          <w:kern w:val="0"/>
          <w:sz w:val="32"/>
          <w:szCs w:val="32"/>
        </w:rPr>
        <w:t>122800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万元，增收</w:t>
      </w:r>
      <w:r>
        <w:rPr>
          <w:rFonts w:hint="eastAsia" w:ascii="仿宋" w:hAnsi="仿宋" w:eastAsia="仿宋"/>
          <w:kern w:val="0"/>
          <w:sz w:val="32"/>
          <w:szCs w:val="32"/>
        </w:rPr>
        <w:t>15036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</w:rPr>
        <w:t>13.9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2、</w:t>
      </w:r>
      <w:r>
        <w:rPr>
          <w:rFonts w:hint="eastAsia" w:ascii="仿宋" w:hAnsi="仿宋" w:eastAsia="仿宋"/>
          <w:b/>
          <w:kern w:val="0"/>
          <w:sz w:val="32"/>
          <w:szCs w:val="32"/>
          <w:lang w:val="zh-CN"/>
        </w:rPr>
        <w:t>支出安排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2018年市本级一般公共预算财力收入为</w:t>
      </w:r>
      <w:r>
        <w:rPr>
          <w:rFonts w:hint="eastAsia" w:ascii="仿宋" w:hAnsi="仿宋" w:eastAsia="仿宋"/>
          <w:kern w:val="0"/>
          <w:sz w:val="32"/>
          <w:szCs w:val="32"/>
        </w:rPr>
        <w:t>461817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万元，其中一般公共预算收入</w:t>
      </w:r>
      <w:r>
        <w:rPr>
          <w:rFonts w:hint="eastAsia" w:ascii="仿宋" w:hAnsi="仿宋" w:eastAsia="仿宋"/>
          <w:kern w:val="0"/>
          <w:sz w:val="32"/>
          <w:szCs w:val="32"/>
        </w:rPr>
        <w:t>331950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万元，各项体制结算收入扣除体制结算支出后净收入</w:t>
      </w:r>
      <w:r>
        <w:rPr>
          <w:rFonts w:hint="eastAsia" w:ascii="仿宋" w:hAnsi="仿宋" w:eastAsia="仿宋"/>
          <w:kern w:val="0"/>
          <w:sz w:val="32"/>
          <w:szCs w:val="32"/>
        </w:rPr>
        <w:t>129867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万元。根据收支平衡原则，市本级一般公共预算支出安排</w:t>
      </w:r>
      <w:r>
        <w:rPr>
          <w:rFonts w:hint="eastAsia" w:ascii="仿宋" w:hAnsi="仿宋" w:eastAsia="仿宋"/>
          <w:kern w:val="0"/>
          <w:sz w:val="32"/>
          <w:szCs w:val="32"/>
        </w:rPr>
        <w:t>461817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万元，较去年预算增长</w:t>
      </w:r>
      <w:r>
        <w:rPr>
          <w:rFonts w:hint="eastAsia" w:ascii="仿宋" w:hAnsi="仿宋" w:eastAsia="仿宋"/>
          <w:kern w:val="0"/>
          <w:sz w:val="32"/>
          <w:szCs w:val="32"/>
        </w:rPr>
        <w:t>4.5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 xml:space="preserve">%。主要支出项目情况如下：                 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一般公共服务支出安排</w:t>
      </w:r>
      <w:r>
        <w:rPr>
          <w:rFonts w:hint="eastAsia" w:ascii="仿宋" w:hAnsi="仿宋" w:eastAsia="仿宋"/>
          <w:kern w:val="0"/>
          <w:sz w:val="32"/>
          <w:szCs w:val="32"/>
        </w:rPr>
        <w:t>31066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万元，较上年预算增长</w:t>
      </w:r>
      <w:r>
        <w:rPr>
          <w:rFonts w:hint="eastAsia" w:ascii="仿宋" w:hAnsi="仿宋" w:eastAsia="仿宋"/>
          <w:kern w:val="0"/>
          <w:sz w:val="32"/>
          <w:szCs w:val="32"/>
        </w:rPr>
        <w:t>22.5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%（下同）。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教育支出安排</w:t>
      </w:r>
      <w:r>
        <w:rPr>
          <w:rFonts w:hint="eastAsia" w:ascii="仿宋" w:hAnsi="仿宋" w:eastAsia="仿宋"/>
          <w:kern w:val="0"/>
          <w:sz w:val="32"/>
          <w:szCs w:val="32"/>
        </w:rPr>
        <w:t>94318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</w:rPr>
        <w:t>8.6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%。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科学技术支出安排</w:t>
      </w:r>
      <w:r>
        <w:rPr>
          <w:rFonts w:hint="eastAsia" w:ascii="仿宋" w:hAnsi="仿宋" w:eastAsia="仿宋"/>
          <w:kern w:val="0"/>
          <w:sz w:val="32"/>
          <w:szCs w:val="32"/>
        </w:rPr>
        <w:t>1615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万元，增长11.4%。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文化体育与传媒支出安排</w:t>
      </w:r>
      <w:r>
        <w:rPr>
          <w:rFonts w:hint="eastAsia" w:ascii="仿宋" w:hAnsi="仿宋" w:eastAsia="仿宋"/>
          <w:kern w:val="0"/>
          <w:sz w:val="32"/>
          <w:szCs w:val="32"/>
        </w:rPr>
        <w:t>6500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万元，增长13.4%。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社会保障和就业支出安排</w:t>
      </w:r>
      <w:r>
        <w:rPr>
          <w:rFonts w:hint="eastAsia" w:ascii="仿宋" w:hAnsi="仿宋" w:eastAsia="仿宋"/>
          <w:kern w:val="0"/>
          <w:sz w:val="32"/>
          <w:szCs w:val="32"/>
        </w:rPr>
        <w:t>55130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万元，与上年持平。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医疗卫生支出安排124510万元，增长11.2%。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节能环保支出安排1750万元，增长</w:t>
      </w:r>
      <w:r>
        <w:rPr>
          <w:rFonts w:hint="eastAsia" w:ascii="仿宋" w:hAnsi="仿宋" w:eastAsia="仿宋"/>
          <w:kern w:val="0"/>
          <w:sz w:val="32"/>
          <w:szCs w:val="32"/>
        </w:rPr>
        <w:t>52.3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%。主要是上级提前告知转移支付增加较多。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农林水支出安排</w:t>
      </w:r>
      <w:r>
        <w:rPr>
          <w:rFonts w:hint="eastAsia" w:ascii="仿宋" w:hAnsi="仿宋" w:eastAsia="仿宋"/>
          <w:kern w:val="0"/>
          <w:sz w:val="32"/>
          <w:szCs w:val="32"/>
        </w:rPr>
        <w:t>30520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万元，增长5.1%。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资源勘探电力等事务支出安排</w:t>
      </w:r>
      <w:r>
        <w:rPr>
          <w:rFonts w:hint="eastAsia" w:ascii="仿宋" w:hAnsi="仿宋" w:eastAsia="仿宋"/>
          <w:kern w:val="0"/>
          <w:sz w:val="32"/>
          <w:szCs w:val="32"/>
        </w:rPr>
        <w:t>39660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</w:rPr>
        <w:t>18.5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%。主要是支持两大集团和金财公司发展支出。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国土海洋气象等支出安排5010万元，增长11.3%。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住房保障支出安排33290万元，增长13%。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预备费安排5000万元，与上年持平。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CN"/>
        </w:rPr>
        <w:t>（二）政府性基金预算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2018年政府性基金预算收入安排</w:t>
      </w:r>
      <w:r>
        <w:rPr>
          <w:rFonts w:hint="eastAsia" w:ascii="仿宋" w:hAnsi="仿宋" w:eastAsia="仿宋"/>
          <w:kern w:val="0"/>
          <w:sz w:val="32"/>
          <w:szCs w:val="32"/>
        </w:rPr>
        <w:t>203000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万元，较上年预算下降</w:t>
      </w:r>
      <w:r>
        <w:rPr>
          <w:rFonts w:hint="eastAsia" w:ascii="仿宋" w:hAnsi="仿宋" w:eastAsia="仿宋"/>
          <w:kern w:val="0"/>
          <w:sz w:val="32"/>
          <w:szCs w:val="32"/>
        </w:rPr>
        <w:t>1.15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%，主要是国家取消散装水泥、新型墙体材料、城市公用附加等收费项目。按照收支平衡的原则，政府性基金预算支出安排</w:t>
      </w:r>
      <w:r>
        <w:rPr>
          <w:rFonts w:hint="eastAsia" w:ascii="仿宋" w:hAnsi="仿宋" w:eastAsia="仿宋"/>
          <w:kern w:val="0"/>
          <w:sz w:val="32"/>
          <w:szCs w:val="32"/>
        </w:rPr>
        <w:t>203000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val="zh-CN"/>
        </w:rPr>
        <w:t>收入项目安排情况如下：</w:t>
      </w:r>
    </w:p>
    <w:p>
      <w:pPr>
        <w:numPr>
          <w:ilvl w:val="0"/>
          <w:numId w:val="2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国有土地收益基金收入</w:t>
      </w:r>
      <w:r>
        <w:rPr>
          <w:rFonts w:hint="eastAsia" w:ascii="仿宋" w:hAnsi="仿宋" w:eastAsia="仿宋"/>
          <w:kern w:val="0"/>
          <w:sz w:val="32"/>
          <w:szCs w:val="32"/>
        </w:rPr>
        <w:t>1000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万元，较上年预算增长（下同）</w:t>
      </w:r>
      <w:r>
        <w:rPr>
          <w:rFonts w:hint="eastAsia" w:ascii="仿宋" w:hAnsi="仿宋" w:eastAsia="仿宋"/>
          <w:kern w:val="0"/>
          <w:sz w:val="32"/>
          <w:szCs w:val="32"/>
        </w:rPr>
        <w:t>78.6%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。</w:t>
      </w:r>
    </w:p>
    <w:p>
      <w:pPr>
        <w:numPr>
          <w:ilvl w:val="0"/>
          <w:numId w:val="2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农业土地开发资金收入10000万元，与上年预算持平。</w:t>
      </w:r>
    </w:p>
    <w:p>
      <w:pPr>
        <w:numPr>
          <w:ilvl w:val="0"/>
          <w:numId w:val="2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国有土地使用权出让收入</w:t>
      </w:r>
      <w:r>
        <w:rPr>
          <w:rFonts w:hint="eastAsia" w:ascii="仿宋" w:hAnsi="仿宋" w:eastAsia="仿宋"/>
          <w:kern w:val="0"/>
          <w:sz w:val="32"/>
          <w:szCs w:val="32"/>
        </w:rPr>
        <w:t>189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000万元，增长</w:t>
      </w:r>
      <w:r>
        <w:rPr>
          <w:rFonts w:hint="eastAsia" w:ascii="仿宋" w:hAnsi="仿宋" w:eastAsia="仿宋"/>
          <w:kern w:val="0"/>
          <w:sz w:val="32"/>
          <w:szCs w:val="32"/>
        </w:rPr>
        <w:t>71.8%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。</w:t>
      </w:r>
    </w:p>
    <w:p>
      <w:pPr>
        <w:numPr>
          <w:ilvl w:val="0"/>
          <w:numId w:val="2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城市基础设施配套费收入2000万元，与上年预算持平。</w:t>
      </w:r>
    </w:p>
    <w:p>
      <w:pPr>
        <w:numPr>
          <w:ilvl w:val="0"/>
          <w:numId w:val="2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污水处理费收入</w:t>
      </w:r>
      <w:r>
        <w:rPr>
          <w:rFonts w:hint="eastAsia" w:ascii="仿宋" w:hAnsi="仿宋" w:eastAsia="仿宋"/>
          <w:kern w:val="0"/>
          <w:sz w:val="32"/>
          <w:szCs w:val="32"/>
        </w:rPr>
        <w:t>1000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</w:rPr>
        <w:t>12%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。</w:t>
      </w:r>
    </w:p>
    <w:p>
      <w:pPr>
        <w:spacing w:line="600" w:lineRule="exact"/>
        <w:ind w:firstLine="643" w:firstLineChars="200"/>
        <w:jc w:val="left"/>
        <w:rPr>
          <w:rFonts w:hint="eastAsia" w:ascii="仿宋" w:hAnsi="仿宋" w:eastAsia="仿宋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val="zh-CN"/>
        </w:rPr>
        <w:t>支出项目安排情况如下：</w:t>
      </w:r>
    </w:p>
    <w:p>
      <w:pPr>
        <w:numPr>
          <w:ilvl w:val="0"/>
          <w:numId w:val="2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国有土地收益基金收入安排的支出</w:t>
      </w:r>
      <w:r>
        <w:rPr>
          <w:rFonts w:hint="eastAsia" w:ascii="仿宋" w:hAnsi="仿宋" w:eastAsia="仿宋"/>
          <w:kern w:val="0"/>
          <w:sz w:val="32"/>
          <w:szCs w:val="32"/>
        </w:rPr>
        <w:t>1000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万元。</w:t>
      </w:r>
    </w:p>
    <w:p>
      <w:pPr>
        <w:numPr>
          <w:ilvl w:val="0"/>
          <w:numId w:val="2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农业土地开发资金收入安排的支出10000万元，主要用于土地拆旧复耕。</w:t>
      </w:r>
    </w:p>
    <w:p>
      <w:pPr>
        <w:numPr>
          <w:ilvl w:val="0"/>
          <w:numId w:val="2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国有土地使用权出让收入安排的支出</w:t>
      </w:r>
      <w:r>
        <w:rPr>
          <w:rFonts w:hint="eastAsia" w:ascii="仿宋" w:hAnsi="仿宋" w:eastAsia="仿宋"/>
          <w:kern w:val="0"/>
          <w:sz w:val="32"/>
          <w:szCs w:val="32"/>
        </w:rPr>
        <w:t>185500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万元，主要用于城市建设和被征地农民补偿。</w:t>
      </w:r>
    </w:p>
    <w:p>
      <w:pPr>
        <w:numPr>
          <w:ilvl w:val="0"/>
          <w:numId w:val="2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城市基础设施配套费收入安排的支出</w:t>
      </w: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000万元。</w:t>
      </w:r>
    </w:p>
    <w:p>
      <w:pPr>
        <w:numPr>
          <w:ilvl w:val="0"/>
          <w:numId w:val="2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债务付息支出</w:t>
      </w:r>
      <w:r>
        <w:rPr>
          <w:rFonts w:hint="eastAsia" w:ascii="仿宋" w:hAnsi="仿宋" w:eastAsia="仿宋"/>
          <w:kern w:val="0"/>
          <w:sz w:val="32"/>
          <w:szCs w:val="32"/>
        </w:rPr>
        <w:t>3500万元。</w:t>
      </w:r>
    </w:p>
    <w:p>
      <w:pPr>
        <w:numPr>
          <w:ilvl w:val="0"/>
          <w:numId w:val="2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污水处理费收入安排的支出</w:t>
      </w:r>
      <w:r>
        <w:rPr>
          <w:rFonts w:hint="eastAsia" w:ascii="仿宋" w:hAnsi="仿宋" w:eastAsia="仿宋"/>
          <w:kern w:val="0"/>
          <w:sz w:val="32"/>
          <w:szCs w:val="32"/>
        </w:rPr>
        <w:t>10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00万元。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CN"/>
        </w:rPr>
        <w:t>（三）国有资本经营预算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2018年国有资本经营预算收入安排</w:t>
      </w:r>
      <w:r>
        <w:rPr>
          <w:rFonts w:hint="eastAsia"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0万元，比去年预算增长</w:t>
      </w:r>
      <w:r>
        <w:rPr>
          <w:rFonts w:hint="eastAsia" w:ascii="仿宋" w:hAnsi="仿宋" w:eastAsia="仿宋"/>
          <w:kern w:val="0"/>
          <w:sz w:val="32"/>
          <w:szCs w:val="32"/>
        </w:rPr>
        <w:t>50%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，支出预算安排</w:t>
      </w:r>
      <w:r>
        <w:rPr>
          <w:rFonts w:hint="eastAsia" w:ascii="仿宋" w:hAnsi="仿宋" w:eastAsia="仿宋"/>
          <w:kern w:val="0"/>
          <w:sz w:val="32"/>
          <w:szCs w:val="32"/>
        </w:rPr>
        <w:t>30</w:t>
      </w: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万元，主要用于支持企业发展。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CN"/>
        </w:rPr>
        <w:t>（四）社会保险基金预算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2018年我市社会保险基金收入计划264678万元，基金支出232861万元，预计当年结余31817万元。收支项目情况：</w:t>
      </w:r>
    </w:p>
    <w:p>
      <w:pPr>
        <w:numPr>
          <w:ilvl w:val="0"/>
          <w:numId w:val="3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企业养老保险基金收入52527万元，支出45526万元。</w:t>
      </w:r>
    </w:p>
    <w:p>
      <w:pPr>
        <w:numPr>
          <w:ilvl w:val="0"/>
          <w:numId w:val="3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失业保险基金收入1927万元，支出871万元。</w:t>
      </w:r>
    </w:p>
    <w:p>
      <w:pPr>
        <w:numPr>
          <w:ilvl w:val="0"/>
          <w:numId w:val="3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职工基本医疗保险基金收入24597万元，支出18736万元。</w:t>
      </w:r>
    </w:p>
    <w:p>
      <w:pPr>
        <w:numPr>
          <w:ilvl w:val="0"/>
          <w:numId w:val="3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工伤保险基金收入2022万元，支出2353万元。</w:t>
      </w:r>
    </w:p>
    <w:p>
      <w:pPr>
        <w:numPr>
          <w:ilvl w:val="0"/>
          <w:numId w:val="3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生育保险基金收入1167万元，支出1021万元。</w:t>
      </w:r>
    </w:p>
    <w:p>
      <w:pPr>
        <w:numPr>
          <w:ilvl w:val="0"/>
          <w:numId w:val="3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城乡居民基本医疗保险基金收入92378万元，支出83907万元。</w:t>
      </w:r>
    </w:p>
    <w:p>
      <w:pPr>
        <w:numPr>
          <w:ilvl w:val="0"/>
          <w:numId w:val="3"/>
        </w:numPr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城乡居民基本养老保险基金收入31881万元，支出22376万元。</w:t>
      </w:r>
    </w:p>
    <w:p>
      <w:pPr>
        <w:numPr>
          <w:ilvl w:val="0"/>
          <w:numId w:val="3"/>
        </w:num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zh-CN"/>
        </w:rPr>
        <w:t>机关事业单位养老保险基金收入58179万元，支出58071万元。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0D4"/>
    <w:multiLevelType w:val="multilevel"/>
    <w:tmpl w:val="095650D4"/>
    <w:lvl w:ilvl="0" w:tentative="0">
      <w:start w:val="1"/>
      <w:numFmt w:val="bullet"/>
      <w:lvlText w:val="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abstractNum w:abstractNumId="1">
    <w:nsid w:val="51365BDD"/>
    <w:multiLevelType w:val="multilevel"/>
    <w:tmpl w:val="51365BDD"/>
    <w:lvl w:ilvl="0" w:tentative="0">
      <w:start w:val="1"/>
      <w:numFmt w:val="bullet"/>
      <w:lvlText w:val=""/>
      <w:lvlJc w:val="left"/>
      <w:pPr>
        <w:tabs>
          <w:tab w:val="left" w:pos="1105"/>
        </w:tabs>
        <w:ind w:left="1105" w:hanging="465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2">
    <w:nsid w:val="79A1662F"/>
    <w:multiLevelType w:val="multilevel"/>
    <w:tmpl w:val="79A1662F"/>
    <w:lvl w:ilvl="0" w:tentative="0">
      <w:start w:val="1"/>
      <w:numFmt w:val="bullet"/>
      <w:lvlText w:val=""/>
      <w:lvlJc w:val="left"/>
      <w:pPr>
        <w:tabs>
          <w:tab w:val="left" w:pos="1105"/>
        </w:tabs>
        <w:ind w:left="1105" w:hanging="465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45E6C"/>
    <w:rsid w:val="08F931AD"/>
    <w:rsid w:val="6D535020"/>
    <w:rsid w:val="7A8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2018-08-27T02:41:00Z</dcterms:created>
  <dc:creator>Administrator</dc:creator>
  <cp:lastModifiedBy>Administrator</cp:lastModifiedBy>
  <dcterms:modified xsi:type="dcterms:W3CDTF">2018-08-27T02:44:52Z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