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永城市</w:t>
      </w:r>
      <w:r>
        <w:rPr>
          <w:rFonts w:hint="eastAsia" w:ascii="黑体" w:hAnsi="黑体" w:eastAsia="黑体"/>
          <w:sz w:val="36"/>
          <w:szCs w:val="36"/>
        </w:rPr>
        <w:t>2016年债务情况说明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城市2016年政府债务限额36.85亿元（一般债务14.65亿元，专项债务22.2亿元）。2016年底，全市政府债务余额336179万元（其中:一般债务141533万元，专项债务194646万元），为上级核定我市政府性债务限额的91.2%，没有突破限额规定。我市2016年政府债务风险评估结果是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综合债务率60%。2016年上级代我市发行地方政府债劵153439万元，其中：置换债劵65839万元，新增债劵87600万元。置换债券用于偿还存量政府债务，新增债券主要用于支持我市基础设施建设。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总的来看，2016年财政决算情况良好，财政收入实现了持续增长，重点支出得到了较好保障，财政改革取得了新进展，实现了收支平衡。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A"/>
    <w:rsid w:val="00205595"/>
    <w:rsid w:val="005D32A9"/>
    <w:rsid w:val="008A765A"/>
    <w:rsid w:val="00C50DA6"/>
    <w:rsid w:val="00ED09F6"/>
    <w:rsid w:val="3DB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2017-10-12T08:05:00Z</dcterms:created>
  <dc:creator>china</dc:creator>
  <cp:lastModifiedBy>Administrator</cp:lastModifiedBy>
  <dcterms:modified xsi:type="dcterms:W3CDTF">2017-10-13T00:23:04Z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