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widowControl w:val="0"/>
        <w:spacing w:line="716" w:lineRule="atLeast"/>
        <w:ind w:firstLine="639" w:firstLineChars="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1287780</wp:posOffset>
                </wp:positionH>
                <wp:positionV relativeFrom="page">
                  <wp:posOffset>1907540</wp:posOffset>
                </wp:positionV>
                <wp:extent cx="5045710" cy="88773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887730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FF0000"/>
                                <w:spacing w:val="0"/>
                                <w:w w:val="80"/>
                                <w:sz w:val="9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FF0000"/>
                                <w:spacing w:val="0"/>
                                <w:w w:val="80"/>
                                <w:sz w:val="96"/>
                                <w:szCs w:val="96"/>
                              </w:rPr>
                              <w:t>永城市农业农村局文件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4pt;margin-top:150.2pt;height:69.9pt;width:397.3pt;mso-position-horizontal-relative:page;mso-position-vertical-relative:page;z-index:251661312;mso-width-relative:page;mso-height-relative:page;" filled="f" stroked="f" coordsize="21600,21600" o:gfxdata="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oaXLNUAAAALAQAADwAAAAAAAAAB&#10;ACAAAAAiAAAAZHJzL2Rvd25yZXYueG1sUEsBAhQAFAAAAAgAh07iQJijNeOhAQAALgMAAA4AAAAA&#10;AAAAAQAgAAAAJAEAAGRycy9lMm9Eb2MueG1sUEsFBgAAAAAGAAYAWQEAADc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FF0000"/>
                          <w:spacing w:val="0"/>
                          <w:w w:val="80"/>
                          <w:sz w:val="9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FF0000"/>
                          <w:spacing w:val="0"/>
                          <w:w w:val="80"/>
                          <w:sz w:val="96"/>
                          <w:szCs w:val="96"/>
                        </w:rPr>
                        <w:t>永城市农业农村局文件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716" w:lineRule="atLeast"/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widowControl w:val="0"/>
        <w:spacing w:line="716" w:lineRule="atLeast"/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widowControl w:val="0"/>
        <w:spacing w:line="716" w:lineRule="atLeast"/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widowControl w:val="0"/>
        <w:spacing w:line="716" w:lineRule="atLeast"/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永农字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[2020]85号</w:t>
      </w:r>
    </w:p>
    <w:p>
      <w:pPr>
        <w:widowControl w:val="0"/>
        <w:spacing w:line="716" w:lineRule="atLeast"/>
        <w:ind w:firstLine="639" w:firstLineChars="0"/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3714750</wp:posOffset>
                </wp:positionV>
                <wp:extent cx="5698490" cy="65405"/>
                <wp:effectExtent l="0" t="12700" r="16510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20420" y="3694430"/>
                          <a:ext cx="5698490" cy="65405"/>
                        </a:xfrm>
                        <a:prstGeom prst="line">
                          <a:avLst/>
                        </a:prstGeom>
                        <a:ln w="252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35pt;margin-top:292.5pt;height:5.15pt;width:448.7pt;mso-position-horizontal-relative:page;mso-position-vertical-relative:page;z-index:251662336;mso-width-relative:page;mso-height-relative:page;" filled="f" stroked="t" coordsize="21600,21600" o:gfxdata="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3utbtsAAAAMAQAADwAAAAAAAAABACAAAAAiAAAAZHJzL2Rvd25yZXYu&#10;eG1sUEsBAhQAFAAAAAgAh07iQD4eAIj4AQAAvgMAAA4AAAAAAAAAAQAgAAAAKgEAAGRycy9lMm9E&#10;b2MueG1sUEsFBgAAAAAGAAYAWQEAAJQFAAAAAA==&#10;">
                <v:fill on="f" focussize="0,0"/>
                <v:stroke weight="1.9842519685039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黑体" w:hAnsi="黑体" w:eastAsia="黑体" w:cs="仿宋_GB2312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永城市2019年中央农业生产发展资金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家庭农场发展项目实施方案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根据《农业农村部 财政部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关于做好2019年农业生产发展等项目实施工作的通知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农计财发〔2019〕6号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）、河南省有关文件要求</w:t>
      </w:r>
      <w:r>
        <w:rPr>
          <w:rFonts w:hint="eastAsia" w:ascii="仿宋" w:hAnsi="仿宋" w:eastAsia="仿宋" w:cs="仿宋_GB2312"/>
          <w:sz w:val="32"/>
          <w:szCs w:val="32"/>
        </w:rPr>
        <w:t>，现就组织实施我市2019年度中央农业生产发展资金家庭农场发展项目制定如下方案。</w:t>
      </w:r>
    </w:p>
    <w:p>
      <w:pPr>
        <w:spacing w:line="600" w:lineRule="exact"/>
        <w:ind w:firstLine="640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一、指导思想和目标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深入贯彻落实2019年中央1号文件精神、省委省政府实施乡村振兴战略、打赢脱贫攻坚战和推进农业供给侧结构性改革的决策部署，以绿色生态为导向，围绕推进产业精准扶贫、“四优四化”等重点工作，按照“完善认定、示范创建、普惠支持、服务提升”的要求，加快培育家庭农场。通过财政资金扶持家庭农场发展，鼓励其有序流转土地、健全管理制度、应用先进技术、加强基础设施建设、开展绿色化标准化生产、购买社会化服务等，推动发展示范家庭农场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二、扶持对象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扶持资金用于支持规模适度、管理规范、效益稳定的县级以上示范家庭农场，打造一批先进典型和亮点，发挥好示范带动作用。优先支持“四优”农产品重点区域、带贫效果明显、返乡人员创办的家庭农场。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三、支持数量和金额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扶持一个家庭农场，扶持资金20万元。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四、扶持方向</w:t>
      </w:r>
    </w:p>
    <w:p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1.生产基地建设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（1）种植业绿色化标准化生产基地建设。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制订和实施生产标准与技术规程，引进与推广良种良法；兴建温室大棚；绿色化标准化生产基地设施建设，购置小、微型灌溉设备；大型农业生产机具设备、产品质量安全检验检测仪器购置等。开展农产品初加工，建设清选包装、冷藏保鲜、烘干仓储等设施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（2）畜牧集中饲养小区建设。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兴建饲养圈舍、购置相关设备和环保处理设施等。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（3）渔业标准化养殖基地建设，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包括购置相关设备等。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2.市场营销能力建设。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拓展产品市场。兴办产地批发市场和交易市场，购置相关设备；在城市超市租用专门柜台直销等销售网点建设；举办或参与产品展览展示推介等市场营销活动。提升产品品质，实施品牌战略，拉长产业链条，兴办加工实体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3.开展农产品质量标准与认证和品牌建设。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开展无公害产品、绿色食品、有机食品认证或地理标识认证，争创国家及省级著名商标品牌等。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4.创新试点。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开展电子商务等营销业态创新。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5.购买社会化服务。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通过农业生产托管等形式，购买农业产前、产中、产后各环节作业的社会化服务。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6.提升管理水平。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鼓励各地通过政府购买服务方式，委托专业机构或专业人才为家庭农场提供政策咨询、生产控制、财务管理、技术指导、信息统计等服务。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7.发展监测。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做好典型家庭农场发展监测工作。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家庭农场发展资金不得用于招待费、办公费、发放工资补贴等与生产经营无关的支出。</w:t>
      </w:r>
    </w:p>
    <w:p>
      <w:pPr>
        <w:ind w:firstLine="640" w:firstLineChars="200"/>
        <w:rPr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五、项目管理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1.加强组织协调。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市农业农村部门要加强对项目的组织实施，结合本地实际，尽快细化实施方案，因地制宜确定补助方式，优化财政资金使用机制。积极协调财政部门按照资金拨付渠道，及时将项目资金按进度要求拨付到实施单位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2.强化政策公开。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实施方案要及时向社会发布，按程序做好补助对象、补助资金等信息公开公示工作，强化社会监督。要通过各种渠道方式宣传解读政策，积极营造有利于政策落实的良好氛围。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3.加强指导服务。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市农业农村部门要指导家庭农场管好用好国家扶持资金，严格按照财务制度规定和资金使用方向正确使用，切实发挥资金效益。将补助对象纳入农业农村部家庭农场名录系统管理，指导家庭农场做好填报工作。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4.注重信息调度。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要建立项目执行定期调度督导机制，及时掌握项目执行和资金使用情况。要做好项目实施总结，全面总结分析项目执行情况、存在问题并提出有关建议，上报项目实施情况总结和绩效评价报告。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2020年9月25日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3118"/>
        </w:tabs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74FD"/>
    <w:rsid w:val="2E1F5DDE"/>
    <w:rsid w:val="4CE1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2020-09-29T00:11:00Z</dcterms:created>
  <dc:creator>zxkj</dc:creator>
  <cp:lastModifiedBy>ycsnyncjbgs</cp:lastModifiedBy>
  <cp:lastPrinted>2020-09-29T00:23:00Z</cp:lastPrinted>
  <dcterms:modified xsi:type="dcterms:W3CDTF">2020-09-29T01:05:32Z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